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223b82"/>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087206" cy="441590"/>
            <wp:effectExtent b="0" l="0" r="0" t="0"/>
            <wp:docPr descr="Logo&#10;&#10;Description automatically generated with medium confidence" id="2126804057" name="image4.png"/>
            <a:graphic>
              <a:graphicData uri="http://schemas.openxmlformats.org/drawingml/2006/picture">
                <pic:pic>
                  <pic:nvPicPr>
                    <pic:cNvPr descr="Logo&#10;&#10;Description automatically generated with medium confidence" id="0" name="image4.png"/>
                    <pic:cNvPicPr preferRelativeResize="0"/>
                  </pic:nvPicPr>
                  <pic:blipFill>
                    <a:blip r:embed="rId7"/>
                    <a:srcRect b="0" l="0" r="0" t="0"/>
                    <a:stretch>
                      <a:fillRect/>
                    </a:stretch>
                  </pic:blipFill>
                  <pic:spPr>
                    <a:xfrm>
                      <a:off x="0" y="0"/>
                      <a:ext cx="2087206" cy="4415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223b82"/>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223b82"/>
          <w:sz w:val="40"/>
          <w:szCs w:val="40"/>
          <w:u w:val="none"/>
          <w:shd w:fill="auto" w:val="clear"/>
          <w:vertAlign w:val="baseline"/>
        </w:rPr>
      </w:pPr>
      <w:r w:rsidDel="00000000" w:rsidR="00000000" w:rsidRPr="00000000">
        <w:rPr>
          <w:rFonts w:ascii="Cambria" w:cs="Cambria" w:eastAsia="Cambria" w:hAnsi="Cambria"/>
          <w:b w:val="0"/>
          <w:i w:val="0"/>
          <w:smallCaps w:val="0"/>
          <w:strike w:val="0"/>
          <w:color w:val="223b82"/>
          <w:sz w:val="40"/>
          <w:szCs w:val="40"/>
          <w:u w:val="none"/>
          <w:shd w:fill="auto" w:val="clear"/>
          <w:vertAlign w:val="baseline"/>
          <w:rtl w:val="0"/>
        </w:rPr>
        <w:t xml:space="preserve">Continuing Education/Continuing Medical Education (CE/CME)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223b82"/>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223b82"/>
          <w:sz w:val="44"/>
          <w:szCs w:val="44"/>
          <w:u w:val="none"/>
          <w:shd w:fill="auto" w:val="clear"/>
          <w:vertAlign w:val="baseline"/>
        </w:rPr>
      </w:pPr>
      <w:r w:rsidDel="00000000" w:rsidR="00000000" w:rsidRPr="00000000">
        <w:rPr>
          <w:rFonts w:ascii="Cambria" w:cs="Cambria" w:eastAsia="Cambria" w:hAnsi="Cambria"/>
          <w:b w:val="1"/>
          <w:i w:val="0"/>
          <w:smallCaps w:val="0"/>
          <w:strike w:val="0"/>
          <w:color w:val="223b82"/>
          <w:sz w:val="40"/>
          <w:szCs w:val="40"/>
          <w:u w:val="none"/>
          <w:shd w:fill="auto" w:val="clear"/>
          <w:vertAlign w:val="baseline"/>
          <w:rtl w:val="0"/>
        </w:rPr>
        <w:t xml:space="preserve">Understanding ECMO in Trauma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223b82"/>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1" w:sz="6" w:val="single"/>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223b82"/>
          <w:sz w:val="40"/>
          <w:szCs w:val="40"/>
          <w:u w:val="none"/>
          <w:shd w:fill="auto" w:val="clear"/>
          <w:vertAlign w:val="baseline"/>
          <w:rtl w:val="0"/>
        </w:rPr>
        <w:t xml:space="preserve">WHEN:</w:t>
      </w:r>
      <w:r w:rsidDel="00000000" w:rsidR="00000000" w:rsidRPr="00000000">
        <w:rPr>
          <w:rFonts w:ascii="Calibri" w:cs="Calibri" w:eastAsia="Calibri" w:hAnsi="Calibri"/>
          <w:b w:val="0"/>
          <w:i w:val="0"/>
          <w:smallCaps w:val="0"/>
          <w:strike w:val="0"/>
          <w:color w:val="223b82"/>
          <w:sz w:val="28"/>
          <w:szCs w:val="28"/>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June 18, 2025 — </w:t>
      </w:r>
      <w:r w:rsidDel="00000000" w:rsidR="00000000" w:rsidRPr="00000000">
        <w:rPr>
          <w:rFonts w:ascii="Arial" w:cs="Arial" w:eastAsia="Arial" w:hAnsi="Arial"/>
          <w:sz w:val="28"/>
          <w:szCs w:val="28"/>
          <w:rtl w:val="0"/>
        </w:rPr>
        <w:t xml:space="preserve">June 18, 2027</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1" w:sz="6" w:val="single"/>
          <w:left w:space="0" w:sz="0" w:val="nil"/>
          <w:bottom w:color="000000" w:space="1" w:sz="6" w:val="single"/>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sectPr>
          <w:pgSz w:h="15840" w:w="12240" w:orient="portrait"/>
          <w:pgMar w:bottom="432" w:top="432" w:left="432" w:right="432" w:header="720" w:footer="720"/>
          <w:pgNumType w:start="1"/>
        </w:sect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3b82"/>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3b82"/>
          <w:sz w:val="28"/>
          <w:szCs w:val="28"/>
          <w:u w:val="none"/>
          <w:shd w:fill="auto" w:val="clear"/>
          <w:vertAlign w:val="baseline"/>
        </w:rPr>
      </w:pPr>
      <w:r w:rsidDel="00000000" w:rsidR="00000000" w:rsidRPr="00000000">
        <w:rPr>
          <w:rFonts w:ascii="Arial" w:cs="Arial" w:eastAsia="Arial" w:hAnsi="Arial"/>
          <w:b w:val="1"/>
          <w:i w:val="0"/>
          <w:smallCaps w:val="0"/>
          <w:strike w:val="0"/>
          <w:color w:val="223b82"/>
          <w:sz w:val="28"/>
          <w:szCs w:val="28"/>
          <w:u w:val="none"/>
          <w:shd w:fill="auto" w:val="clear"/>
          <w:vertAlign w:val="baseline"/>
          <w:rtl w:val="0"/>
        </w:rPr>
        <w:t xml:space="preserve">Presentation purpose: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rFonts w:ascii="Calibri" w:cs="Calibri" w:eastAsia="Calibri" w:hAnsi="Calibri"/>
          <w:i w:val="0"/>
          <w:smallCaps w:val="0"/>
          <w:strike w:val="0"/>
          <w:color w:val="000000"/>
          <w:sz w:val="16"/>
          <w:szCs w:val="16"/>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This offering will discuss ECMO, how it can be beneficial to specific trauma patients, and how it is managed in a hospital setting.</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223b82"/>
          <w:sz w:val="28"/>
          <w:szCs w:val="28"/>
          <w:u w:val="none"/>
          <w:shd w:fill="auto" w:val="clear"/>
          <w:vertAlign w:val="baseline"/>
          <w:rtl w:val="0"/>
        </w:rPr>
        <w:t xml:space="preserve">Learning objectives: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Learners will be able understand what kind of patients are best suited for ECMO.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Learners will be able to understand how ECMO works and how it can have a positive outcome with critically ill patients.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Learners will be able to demonstrate some risk factors related to ECMO.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3b82"/>
          <w:sz w:val="28"/>
          <w:szCs w:val="28"/>
          <w:u w:val="none"/>
          <w:shd w:fill="auto" w:val="clear"/>
          <w:vertAlign w:val="baseline"/>
        </w:rPr>
      </w:pPr>
      <w:r w:rsidDel="00000000" w:rsidR="00000000" w:rsidRPr="00000000">
        <w:rPr>
          <w:rFonts w:ascii="Arial" w:cs="Arial" w:eastAsia="Arial" w:hAnsi="Arial"/>
          <w:b w:val="1"/>
          <w:i w:val="0"/>
          <w:smallCaps w:val="0"/>
          <w:strike w:val="0"/>
          <w:color w:val="223b82"/>
          <w:sz w:val="28"/>
          <w:szCs w:val="28"/>
          <w:u w:val="none"/>
          <w:shd w:fill="auto" w:val="clear"/>
          <w:vertAlign w:val="baseline"/>
          <w:rtl w:val="0"/>
        </w:rPr>
        <w:t xml:space="preserve">Target audience: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3b82"/>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activity is designed for the interdisciplinary audience including the following: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Specialties: Cardiology, Emergency Medicine, Critical Care Medicine, Ems (Pre-Hospital), Trauma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b w:val="1"/>
          <w:color w:val="223b82"/>
          <w:sz w:val="28"/>
          <w:szCs w:val="28"/>
        </w:rPr>
      </w:pPr>
      <w:r w:rsidDel="00000000" w:rsidR="00000000" w:rsidRPr="00000000">
        <w:rPr>
          <w:rFonts w:ascii="Arial" w:cs="Arial" w:eastAsia="Arial" w:hAnsi="Arial"/>
          <w:b w:val="1"/>
          <w:color w:val="223b82"/>
          <w:sz w:val="28"/>
          <w:szCs w:val="28"/>
          <w:rtl w:val="0"/>
        </w:rPr>
        <w:t xml:space="preserve">Faculty/Course Director/Planners:</w:t>
      </w:r>
    </w:p>
    <w:p w:rsidR="00000000" w:rsidDel="00000000" w:rsidP="00000000" w:rsidRDefault="00000000" w:rsidRPr="00000000" w14:paraId="0000001C">
      <w:pPr>
        <w:rPr>
          <w:rFonts w:ascii="Arial" w:cs="Arial" w:eastAsia="Arial" w:hAnsi="Arial"/>
          <w:color w:val="223b82"/>
          <w:sz w:val="10"/>
          <w:szCs w:val="1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000000" w:rsidDel="00000000" w:rsidP="00000000" w:rsidRDefault="00000000" w:rsidRPr="00000000" w14:paraId="0000001E">
      <w:pPr>
        <w:rPr>
          <w:rFonts w:ascii="Arial" w:cs="Arial" w:eastAsia="Arial" w:hAnsi="Arial"/>
          <w:b w:val="1"/>
          <w:color w:val="223b82"/>
          <w:sz w:val="28"/>
          <w:szCs w:val="28"/>
        </w:rPr>
      </w:pPr>
      <w:r w:rsidDel="00000000" w:rsidR="00000000" w:rsidRPr="00000000">
        <w:rPr>
          <w:rFonts w:ascii="Arial" w:cs="Arial" w:eastAsia="Arial" w:hAnsi="Arial"/>
          <w:b w:val="1"/>
          <w:color w:val="223b82"/>
          <w:sz w:val="28"/>
          <w:szCs w:val="28"/>
          <w:rtl w:val="0"/>
        </w:rPr>
        <w:t xml:space="preserve">Commercial Support:</w:t>
      </w:r>
    </w:p>
    <w:p w:rsidR="00000000" w:rsidDel="00000000" w:rsidP="00000000" w:rsidRDefault="00000000" w:rsidRPr="00000000" w14:paraId="0000001F">
      <w:pPr>
        <w:rPr>
          <w:sz w:val="10"/>
          <w:szCs w:val="1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sz w:val="20"/>
          <w:szCs w:val="20"/>
          <w:rtl w:val="0"/>
        </w:rPr>
        <w:t xml:space="preserve">No commercial interest was received for this CE/CME activity.</w:t>
      </w:r>
      <w:r w:rsidDel="00000000" w:rsidR="00000000" w:rsidRPr="00000000">
        <w:br w:type="column"/>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3b82"/>
          <w:sz w:val="28"/>
          <w:szCs w:val="28"/>
          <w:u w:val="none"/>
          <w:shd w:fill="auto" w:val="clear"/>
          <w:vertAlign w:val="baseline"/>
        </w:rPr>
      </w:pPr>
      <w:r w:rsidDel="00000000" w:rsidR="00000000" w:rsidRPr="00000000">
        <w:rPr>
          <w:rFonts w:ascii="Arial" w:cs="Arial" w:eastAsia="Arial" w:hAnsi="Arial"/>
          <w:b w:val="1"/>
          <w:i w:val="0"/>
          <w:smallCaps w:val="0"/>
          <w:strike w:val="0"/>
          <w:color w:val="223b82"/>
          <w:sz w:val="28"/>
          <w:szCs w:val="28"/>
          <w:u w:val="none"/>
          <w:shd w:fill="auto" w:val="clear"/>
          <w:vertAlign w:val="baseline"/>
          <w:rtl w:val="0"/>
        </w:rPr>
        <w:t xml:space="preserve">Accreditation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23b82"/>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 support of improving patient care, Ascension is jointly accredited by the Accreditation Council for Continuing Medical Education (ACCME), the Accreditation Council for Pharmacy Education (ACPE), and the American Nurses Credentialing Center (ANCC), to provide continuing education for the healthcare team.</w:t>
      </w:r>
      <w:r w:rsidDel="00000000" w:rsidR="00000000" w:rsidRPr="00000000">
        <w:drawing>
          <wp:anchor allowOverlap="1" behindDoc="0" distB="0" distT="0" distL="0" distR="0" hidden="0" layoutInCell="1" locked="0" relativeHeight="0" simplePos="0">
            <wp:simplePos x="0" y="0"/>
            <wp:positionH relativeFrom="column">
              <wp:posOffset>2540</wp:posOffset>
            </wp:positionH>
            <wp:positionV relativeFrom="paragraph">
              <wp:posOffset>44575</wp:posOffset>
            </wp:positionV>
            <wp:extent cx="1014730" cy="694690"/>
            <wp:effectExtent b="0" l="0" r="0" t="0"/>
            <wp:wrapSquare wrapText="bothSides" distB="0" distT="0" distL="0" distR="0"/>
            <wp:docPr descr="Jointly Accredited Provider TM&#10;Interprofessional Continuing Education" id="2126804054" name="image5.png"/>
            <a:graphic>
              <a:graphicData uri="http://schemas.openxmlformats.org/drawingml/2006/picture">
                <pic:pic>
                  <pic:nvPicPr>
                    <pic:cNvPr descr="Jointly Accredited Provider TM&#10;Interprofessional Continuing Education" id="0" name="image5.png"/>
                    <pic:cNvPicPr preferRelativeResize="0"/>
                  </pic:nvPicPr>
                  <pic:blipFill>
                    <a:blip r:embed="rId8"/>
                    <a:srcRect b="0" l="0" r="0" t="0"/>
                    <a:stretch>
                      <a:fillRect/>
                    </a:stretch>
                  </pic:blipFill>
                  <pic:spPr>
                    <a:xfrm>
                      <a:off x="0" y="0"/>
                      <a:ext cx="1014730" cy="694690"/>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3b82"/>
          <w:sz w:val="20"/>
          <w:szCs w:val="20"/>
          <w:u w:val="none"/>
          <w:shd w:fill="auto" w:val="clear"/>
          <w:vertAlign w:val="baseline"/>
        </w:rPr>
      </w:pPr>
      <w:r w:rsidDel="00000000" w:rsidR="00000000" w:rsidRPr="00000000">
        <w:rPr>
          <w:rFonts w:ascii="Arial" w:cs="Arial" w:eastAsia="Arial" w:hAnsi="Arial"/>
          <w:b w:val="1"/>
          <w:i w:val="0"/>
          <w:smallCaps w:val="0"/>
          <w:strike w:val="0"/>
          <w:color w:val="223b82"/>
          <w:sz w:val="28"/>
          <w:szCs w:val="28"/>
          <w:u w:val="none"/>
          <w:shd w:fill="auto" w:val="clear"/>
          <w:vertAlign w:val="baseline"/>
          <w:rtl w:val="0"/>
        </w:rPr>
        <w:t xml:space="preserve">Credit designation:</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This activity was planned by and for the healthcare team, and learners will receive 1.00 IPCE credit(s) for learning and change.</w:t>
      </w:r>
      <w:r w:rsidDel="00000000" w:rsidR="00000000" w:rsidRPr="00000000">
        <w:drawing>
          <wp:anchor allowOverlap="1" behindDoc="0" distB="0" distT="0" distL="0" distR="0" hidden="0" layoutInCell="1" locked="0" relativeHeight="0" simplePos="0">
            <wp:simplePos x="0" y="0"/>
            <wp:positionH relativeFrom="column">
              <wp:posOffset>10160</wp:posOffset>
            </wp:positionH>
            <wp:positionV relativeFrom="paragraph">
              <wp:posOffset>1270</wp:posOffset>
            </wp:positionV>
            <wp:extent cx="683895" cy="486410"/>
            <wp:effectExtent b="0" l="0" r="0" t="0"/>
            <wp:wrapSquare wrapText="bothSides" distB="0" distT="0" distL="0" distR="0"/>
            <wp:docPr descr="IPCE Credit TM" id="2126804059" name="image6.jpg"/>
            <a:graphic>
              <a:graphicData uri="http://schemas.openxmlformats.org/drawingml/2006/picture">
                <pic:pic>
                  <pic:nvPicPr>
                    <pic:cNvPr descr="IPCE Credit TM" id="0" name="image6.jpg"/>
                    <pic:cNvPicPr preferRelativeResize="0"/>
                  </pic:nvPicPr>
                  <pic:blipFill>
                    <a:blip r:embed="rId9"/>
                    <a:srcRect b="0" l="0" r="0" t="0"/>
                    <a:stretch>
                      <a:fillRect/>
                    </a:stretch>
                  </pic:blipFill>
                  <pic:spPr>
                    <a:xfrm>
                      <a:off x="0" y="0"/>
                      <a:ext cx="683895" cy="486410"/>
                    </a:xfrm>
                    <a:prstGeom prst="rect"/>
                    <a:ln/>
                  </pic:spPr>
                </pic:pic>
              </a:graphicData>
            </a:graphic>
          </wp:anchor>
        </w:drawing>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Ascension designates this  for a maximum of 1.00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AMA PRA Category 1 Credit(s)™</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Physicians should claim only the credit commensurate with the extent of their participation in the activity.</w:t>
      </w:r>
      <w:r w:rsidDel="00000000" w:rsidR="00000000" w:rsidRPr="00000000">
        <w:rPr>
          <w:rtl w:val="0"/>
        </w:rPr>
      </w:r>
      <w:r w:rsidDel="00000000" w:rsidR="00000000" w:rsidRPr="00000000">
        <w:drawing>
          <wp:anchor allowOverlap="1" behindDoc="0" distB="0" distT="0" distL="0" distR="27305" hidden="0" layoutInCell="1" locked="0" relativeHeight="0" simplePos="0">
            <wp:simplePos x="0" y="0"/>
            <wp:positionH relativeFrom="column">
              <wp:posOffset>-4444</wp:posOffset>
            </wp:positionH>
            <wp:positionV relativeFrom="paragraph">
              <wp:posOffset>38100</wp:posOffset>
            </wp:positionV>
            <wp:extent cx="353060" cy="453390"/>
            <wp:effectExtent b="0" l="0" r="0" t="0"/>
            <wp:wrapSquare wrapText="bothSides" distB="0" distT="0" distL="0" distR="27305"/>
            <wp:docPr descr="ACCME Accredited" id="2126804056" name="image7.png"/>
            <a:graphic>
              <a:graphicData uri="http://schemas.openxmlformats.org/drawingml/2006/picture">
                <pic:pic>
                  <pic:nvPicPr>
                    <pic:cNvPr descr="ACCME Accredited" id="0" name="image7.png"/>
                    <pic:cNvPicPr preferRelativeResize="0"/>
                  </pic:nvPicPr>
                  <pic:blipFill>
                    <a:blip r:embed="rId10"/>
                    <a:srcRect b="0" l="0" r="0" t="0"/>
                    <a:stretch>
                      <a:fillRect/>
                    </a:stretch>
                  </pic:blipFill>
                  <pic:spPr>
                    <a:xfrm>
                      <a:off x="0" y="0"/>
                      <a:ext cx="353060" cy="45339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This activity is awarded 1.00 ANCC contact hour(s). (based on 60 minutes per contact hour)</w:t>
      </w:r>
      <w:r w:rsidDel="00000000" w:rsidR="00000000" w:rsidRPr="00000000">
        <w:drawing>
          <wp:anchor allowOverlap="1" behindDoc="0" distB="0" distT="0" distL="0" distR="0" hidden="0" layoutInCell="1" locked="0" relativeHeight="0" simplePos="0">
            <wp:simplePos x="0" y="0"/>
            <wp:positionH relativeFrom="column">
              <wp:posOffset>2540</wp:posOffset>
            </wp:positionH>
            <wp:positionV relativeFrom="paragraph">
              <wp:posOffset>7620</wp:posOffset>
            </wp:positionV>
            <wp:extent cx="1323340" cy="316230"/>
            <wp:effectExtent b="0" l="0" r="0" t="0"/>
            <wp:wrapSquare wrapText="bothSides" distB="0" distT="0" distL="0" distR="0"/>
            <wp:docPr descr="ANCC&#10;American Nurses Credentialing Center" id="2126804058" name="image3.jpg"/>
            <a:graphic>
              <a:graphicData uri="http://schemas.openxmlformats.org/drawingml/2006/picture">
                <pic:pic>
                  <pic:nvPicPr>
                    <pic:cNvPr descr="ANCC&#10;American Nurses Credentialing Center" id="0" name="image3.jpg"/>
                    <pic:cNvPicPr preferRelativeResize="0"/>
                  </pic:nvPicPr>
                  <pic:blipFill>
                    <a:blip r:embed="rId11"/>
                    <a:srcRect b="0" l="0" r="0" t="0"/>
                    <a:stretch>
                      <a:fillRect/>
                    </a:stretch>
                  </pic:blipFill>
                  <pic:spPr>
                    <a:xfrm>
                      <a:off x="0" y="0"/>
                      <a:ext cx="1323340" cy="316230"/>
                    </a:xfrm>
                    <a:prstGeom prst="rect"/>
                    <a:ln/>
                  </pic:spPr>
                </pic:pic>
              </a:graphicData>
            </a:graphic>
          </wp:anchor>
        </w:drawing>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Ascension has been authorized by the American Academy of PAs (AAPA) to award AAPA Category 1 CME credit for activities planned in accordance with AAPA CME Criteria. This activity is designated for 1.00 AAPA Category 1 CME credits. PAs should only claim credit commensurate with the extent of their participation.</w:t>
      </w:r>
      <w:r w:rsidDel="00000000" w:rsidR="00000000" w:rsidRPr="00000000">
        <w:drawing>
          <wp:anchor allowOverlap="1" behindDoc="0" distB="0" distT="0" distL="0" distR="0" hidden="0" layoutInCell="1" locked="0" relativeHeight="0" simplePos="0">
            <wp:simplePos x="0" y="0"/>
            <wp:positionH relativeFrom="column">
              <wp:posOffset>9525</wp:posOffset>
            </wp:positionH>
            <wp:positionV relativeFrom="paragraph">
              <wp:posOffset>27305</wp:posOffset>
            </wp:positionV>
            <wp:extent cx="914400" cy="447675"/>
            <wp:effectExtent b="0" l="0" r="0" t="0"/>
            <wp:wrapSquare wrapText="bothSides" distB="0" distT="0" distL="0" distR="0"/>
            <wp:docPr descr="AAPA" id="2126804053" name="image2.png"/>
            <a:graphic>
              <a:graphicData uri="http://schemas.openxmlformats.org/drawingml/2006/picture">
                <pic:pic>
                  <pic:nvPicPr>
                    <pic:cNvPr descr="AAPA" id="0" name="image2.png"/>
                    <pic:cNvPicPr preferRelativeResize="0"/>
                  </pic:nvPicPr>
                  <pic:blipFill>
                    <a:blip r:embed="rId12"/>
                    <a:srcRect b="33039" l="0" r="0" t="29475"/>
                    <a:stretch>
                      <a:fillRect/>
                    </a:stretch>
                  </pic:blipFill>
                  <pic:spPr>
                    <a:xfrm>
                      <a:off x="0" y="0"/>
                      <a:ext cx="914400" cy="447675"/>
                    </a:xfrm>
                    <a:prstGeom prst="rect"/>
                    <a:ln/>
                  </pic:spPr>
                </pic:pic>
              </a:graphicData>
            </a:graphic>
          </wp:anchor>
        </w:drawing>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This knowledge-based activity qualifies for 1.00 contact hours of continuing pharmacy education credit. Pharmacy CE credits will be submitted electronically to the NABP upon successful completion of the activity.</w:t>
      </w:r>
      <w:r w:rsidDel="00000000" w:rsidR="00000000" w:rsidRPr="00000000">
        <w:drawing>
          <wp:anchor allowOverlap="1" behindDoc="0" distB="0" distT="0" distL="27305" distR="27305" hidden="0" layoutInCell="1" locked="0" relativeHeight="0" simplePos="0">
            <wp:simplePos x="0" y="0"/>
            <wp:positionH relativeFrom="column">
              <wp:posOffset>17147</wp:posOffset>
            </wp:positionH>
            <wp:positionV relativeFrom="paragraph">
              <wp:posOffset>19685</wp:posOffset>
            </wp:positionV>
            <wp:extent cx="347345" cy="328930"/>
            <wp:effectExtent b="0" l="0" r="0" t="0"/>
            <wp:wrapSquare wrapText="bothSides" distB="0" distT="0" distL="27305" distR="27305"/>
            <wp:docPr descr="ACPE" id="2126804055" name="image1.png"/>
            <a:graphic>
              <a:graphicData uri="http://schemas.openxmlformats.org/drawingml/2006/picture">
                <pic:pic>
                  <pic:nvPicPr>
                    <pic:cNvPr descr="ACPE" id="0" name="image1.png"/>
                    <pic:cNvPicPr preferRelativeResize="0"/>
                  </pic:nvPicPr>
                  <pic:blipFill>
                    <a:blip r:embed="rId13"/>
                    <a:srcRect b="0" l="0" r="0" t="0"/>
                    <a:stretch>
                      <a:fillRect/>
                    </a:stretch>
                  </pic:blipFill>
                  <pic:spPr>
                    <a:xfrm>
                      <a:off x="0" y="0"/>
                      <a:ext cx="347345" cy="328930"/>
                    </a:xfrm>
                    <a:prstGeom prst="rect"/>
                    <a:ln/>
                  </pic:spPr>
                </pic:pic>
              </a:graphicData>
            </a:graphic>
          </wp:anchor>
        </w:drawing>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b w:val="1"/>
          <w:color w:val="223b82"/>
          <w:sz w:val="28"/>
          <w:szCs w:val="28"/>
        </w:rPr>
      </w:pPr>
      <w:r w:rsidDel="00000000" w:rsidR="00000000" w:rsidRPr="00000000">
        <w:rPr>
          <w:rFonts w:ascii="Arial" w:cs="Arial" w:eastAsia="Arial" w:hAnsi="Arial"/>
          <w:b w:val="1"/>
          <w:color w:val="223b82"/>
          <w:sz w:val="28"/>
          <w:szCs w:val="28"/>
          <w:rtl w:val="0"/>
        </w:rPr>
        <w:t xml:space="preserve">Conflict of Interest:</w:t>
      </w:r>
    </w:p>
    <w:p w:rsidR="00000000" w:rsidDel="00000000" w:rsidP="00000000" w:rsidRDefault="00000000" w:rsidRPr="00000000" w14:paraId="00000036">
      <w:pPr>
        <w:rPr>
          <w:sz w:val="10"/>
          <w:szCs w:val="1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In accordance with the ACCME Standards for Commercial Support, it is the policy of Ascension to ensure balance, independence, objectivity and scientific rigor in all CE/CME activities.</w:t>
      </w:r>
    </w:p>
    <w:p w:rsidR="00000000" w:rsidDel="00000000" w:rsidP="00000000" w:rsidRDefault="00000000" w:rsidRPr="00000000" w14:paraId="00000038">
      <w:pPr>
        <w:rPr>
          <w:sz w:val="16"/>
          <w:szCs w:val="16"/>
        </w:rPr>
      </w:pPr>
      <w:r w:rsidDel="00000000" w:rsidR="00000000" w:rsidRPr="00000000">
        <w:rPr>
          <w:sz w:val="20"/>
          <w:szCs w:val="20"/>
          <w:rtl w:val="0"/>
        </w:rPr>
        <w:t xml:space="preserve">Full disclosure of conflicts and conflict resolution will be made in writing via handout materials or syllabus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C">
      <w:pPr>
        <w:rPr>
          <w:sz w:val="16"/>
          <w:szCs w:val="16"/>
        </w:rPr>
        <w:sectPr>
          <w:type w:val="continuous"/>
          <w:pgSz w:h="15840" w:w="12240" w:orient="portrait"/>
          <w:pgMar w:bottom="432" w:top="432" w:left="432" w:right="432" w:header="720" w:footer="720"/>
          <w:cols w:equalWidth="0" w:num="2" w:sep="1">
            <w:col w:space="432" w:w="5471.999999999999"/>
            <w:col w:space="0" w:w="5471.999999999999"/>
          </w:cols>
        </w:sect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tbl>
      <w:tblPr>
        <w:tblStyle w:val="Table1"/>
        <w:tblpPr w:leftFromText="180" w:rightFromText="180" w:topFromText="180" w:bottomFromText="180" w:vertAnchor="text" w:horzAnchor="text" w:tblpX="0" w:tblpY="0"/>
        <w:tblW w:w="11286.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3386"/>
        <w:gridCol w:w="3386"/>
        <w:gridCol w:w="4514"/>
        <w:tblGridChange w:id="0">
          <w:tblGrid>
            <w:gridCol w:w="3386"/>
            <w:gridCol w:w="3386"/>
            <w:gridCol w:w="4514"/>
          </w:tblGrid>
        </w:tblGridChange>
      </w:tblGrid>
      <w:tr>
        <w:trPr>
          <w:cantSplit w:val="0"/>
          <w:tblHeader w:val="0"/>
        </w:trPr>
        <w:tc>
          <w:tcPr>
            <w:tcBorders>
              <w:bottom w:color="000000" w:space="0" w:sz="6" w:val="single"/>
              <w:right w:color="000000" w:space="0" w:sz="6" w:val="single"/>
            </w:tcBorders>
            <w:shd w:fill="f5f5f5" w:val="clear"/>
            <w:vAlign w:val="center"/>
          </w:tcPr>
          <w:p w:rsidR="00000000" w:rsidDel="00000000" w:rsidP="00000000" w:rsidRDefault="00000000" w:rsidRPr="00000000" w14:paraId="0000003E">
            <w:pPr>
              <w:jc w:val="center"/>
              <w:rPr/>
            </w:pPr>
            <w:r w:rsidDel="00000000" w:rsidR="00000000" w:rsidRPr="00000000">
              <w:rPr>
                <w:b w:val="1"/>
                <w:rtl w:val="0"/>
              </w:rPr>
              <w:t xml:space="preserve">Name of individual</w:t>
            </w:r>
            <w:r w:rsidDel="00000000" w:rsidR="00000000" w:rsidRPr="00000000">
              <w:rPr>
                <w:rtl w:val="0"/>
              </w:rPr>
            </w:r>
          </w:p>
        </w:tc>
        <w:tc>
          <w:tcPr>
            <w:tcBorders>
              <w:left w:color="000000" w:space="0" w:sz="6" w:val="single"/>
              <w:bottom w:color="000000" w:space="0" w:sz="6" w:val="single"/>
              <w:right w:color="000000" w:space="0" w:sz="6" w:val="single"/>
            </w:tcBorders>
            <w:shd w:fill="f5f5f5" w:val="clear"/>
            <w:vAlign w:val="center"/>
          </w:tcPr>
          <w:p w:rsidR="00000000" w:rsidDel="00000000" w:rsidP="00000000" w:rsidRDefault="00000000" w:rsidRPr="00000000" w14:paraId="0000003F">
            <w:pPr>
              <w:jc w:val="center"/>
              <w:rPr/>
            </w:pPr>
            <w:r w:rsidDel="00000000" w:rsidR="00000000" w:rsidRPr="00000000">
              <w:rPr>
                <w:b w:val="1"/>
                <w:rtl w:val="0"/>
              </w:rPr>
              <w:t xml:space="preserve">Individual's role in activity</w:t>
            </w:r>
            <w:r w:rsidDel="00000000" w:rsidR="00000000" w:rsidRPr="00000000">
              <w:rPr>
                <w:rtl w:val="0"/>
              </w:rPr>
            </w:r>
          </w:p>
        </w:tc>
        <w:tc>
          <w:tcPr>
            <w:tcBorders>
              <w:left w:color="000000" w:space="0" w:sz="6" w:val="single"/>
              <w:bottom w:color="000000" w:space="0" w:sz="6" w:val="single"/>
            </w:tcBorders>
            <w:shd w:fill="f5f5f5" w:val="clear"/>
            <w:vAlign w:val="center"/>
          </w:tcPr>
          <w:p w:rsidR="00000000" w:rsidDel="00000000" w:rsidP="00000000" w:rsidRDefault="00000000" w:rsidRPr="00000000" w14:paraId="00000040">
            <w:pPr>
              <w:jc w:val="center"/>
              <w:rPr/>
            </w:pPr>
            <w:r w:rsidDel="00000000" w:rsidR="00000000" w:rsidRPr="00000000">
              <w:rPr>
                <w:b w:val="1"/>
                <w:rtl w:val="0"/>
              </w:rPr>
              <w:t xml:space="preserve">Nature of Relationship(s) / Name of Ineligible Company(s)</w:t>
            </w:r>
            <w:r w:rsidDel="00000000" w:rsidR="00000000" w:rsidRPr="00000000">
              <w:rPr>
                <w:rtl w:val="0"/>
              </w:rPr>
            </w:r>
          </w:p>
        </w:tc>
      </w:tr>
      <w:tr>
        <w:trPr>
          <w:cantSplit w:val="0"/>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41">
            <w:pPr>
              <w:rPr/>
            </w:pPr>
            <w:r w:rsidDel="00000000" w:rsidR="00000000" w:rsidRPr="00000000">
              <w:rPr>
                <w:rtl w:val="0"/>
              </w:rPr>
              <w:t xml:space="preserve">Ian Ferries, MD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rPr/>
            </w:pPr>
            <w:r w:rsidDel="00000000" w:rsidR="00000000" w:rsidRPr="00000000">
              <w:rPr>
                <w:rtl w:val="0"/>
              </w:rPr>
              <w:t xml:space="preserve">Physician Planner</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3">
            <w:pPr>
              <w:rPr/>
            </w:pPr>
            <w:r w:rsidDel="00000000" w:rsidR="00000000" w:rsidRPr="00000000">
              <w:rPr>
                <w:rtl w:val="0"/>
              </w:rPr>
              <w:t xml:space="preserve">Nothing to disclose - 01/20/2025</w:t>
            </w:r>
          </w:p>
        </w:tc>
      </w:tr>
      <w:tr>
        <w:trPr>
          <w:cantSplit w:val="0"/>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44">
            <w:pPr>
              <w:rPr/>
            </w:pPr>
            <w:r w:rsidDel="00000000" w:rsidR="00000000" w:rsidRPr="00000000">
              <w:rPr>
                <w:rtl w:val="0"/>
              </w:rPr>
              <w:t xml:space="preserve">Marcia Ilnicki, BSN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rPr/>
            </w:pPr>
            <w:r w:rsidDel="00000000" w:rsidR="00000000" w:rsidRPr="00000000">
              <w:rPr>
                <w:rtl w:val="0"/>
              </w:rPr>
              <w:t xml:space="preserve">Faculty</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6">
            <w:pPr>
              <w:rPr/>
            </w:pPr>
            <w:r w:rsidDel="00000000" w:rsidR="00000000" w:rsidRPr="00000000">
              <w:rPr>
                <w:rtl w:val="0"/>
              </w:rPr>
              <w:t xml:space="preserve">Nothing to disclose - 05/05/2025</w:t>
            </w:r>
          </w:p>
        </w:tc>
      </w:tr>
      <w:tr>
        <w:trPr>
          <w:cantSplit w:val="0"/>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47">
            <w:pPr>
              <w:rPr/>
            </w:pPr>
            <w:r w:rsidDel="00000000" w:rsidR="00000000" w:rsidRPr="00000000">
              <w:rPr>
                <w:rtl w:val="0"/>
              </w:rPr>
              <w:t xml:space="preserve">Colleen H Groves, BSN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8">
            <w:pPr>
              <w:rPr/>
            </w:pPr>
            <w:r w:rsidDel="00000000" w:rsidR="00000000" w:rsidRPr="00000000">
              <w:rPr>
                <w:rtl w:val="0"/>
              </w:rPr>
              <w:t xml:space="preserve">Nurse Planner</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9">
            <w:pPr>
              <w:rPr/>
            </w:pPr>
            <w:r w:rsidDel="00000000" w:rsidR="00000000" w:rsidRPr="00000000">
              <w:rPr>
                <w:rtl w:val="0"/>
              </w:rPr>
              <w:t xml:space="preserve">Nothing to disclose - 05/30/2025</w:t>
            </w:r>
          </w:p>
        </w:tc>
      </w:tr>
      <w:tr>
        <w:trPr>
          <w:cantSplit w:val="0"/>
          <w:tblHeader w:val="0"/>
        </w:trPr>
        <w:tc>
          <w:tcPr>
            <w:tcBorders>
              <w:top w:color="000000" w:space="0" w:sz="6" w:val="single"/>
              <w:bottom w:color="000000" w:space="0" w:sz="6" w:val="single"/>
              <w:right w:color="000000" w:space="0" w:sz="6" w:val="single"/>
            </w:tcBorders>
            <w:vAlign w:val="center"/>
          </w:tcPr>
          <w:p w:rsidR="00000000" w:rsidDel="00000000" w:rsidP="00000000" w:rsidRDefault="00000000" w:rsidRPr="00000000" w14:paraId="0000004A">
            <w:pPr>
              <w:rPr/>
            </w:pPr>
            <w:r w:rsidDel="00000000" w:rsidR="00000000" w:rsidRPr="00000000">
              <w:rPr>
                <w:rtl w:val="0"/>
              </w:rPr>
              <w:t xml:space="preserve">Natalee Edwards, PA-C</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rPr/>
            </w:pPr>
            <w:r w:rsidDel="00000000" w:rsidR="00000000" w:rsidRPr="00000000">
              <w:rPr>
                <w:rtl w:val="0"/>
              </w:rPr>
              <w:t xml:space="preserve">PA Planner</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C">
            <w:pPr>
              <w:rPr/>
            </w:pPr>
            <w:r w:rsidDel="00000000" w:rsidR="00000000" w:rsidRPr="00000000">
              <w:rPr>
                <w:rtl w:val="0"/>
              </w:rPr>
              <w:t xml:space="preserve">Nothing to disclose - 01/23/2025</w:t>
            </w:r>
          </w:p>
        </w:tc>
      </w:tr>
      <w:tr>
        <w:trPr>
          <w:cantSplit w:val="0"/>
          <w:tblHeader w:val="0"/>
        </w:trPr>
        <w:tc>
          <w:tcPr>
            <w:tcBorders>
              <w:top w:color="000000" w:space="0" w:sz="6" w:val="single"/>
              <w:right w:color="000000" w:space="0" w:sz="6" w:val="single"/>
            </w:tcBorders>
            <w:vAlign w:val="center"/>
          </w:tcPr>
          <w:p w:rsidR="00000000" w:rsidDel="00000000" w:rsidP="00000000" w:rsidRDefault="00000000" w:rsidRPr="00000000" w14:paraId="0000004D">
            <w:pPr>
              <w:rPr/>
            </w:pPr>
            <w:r w:rsidDel="00000000" w:rsidR="00000000" w:rsidRPr="00000000">
              <w:rPr>
                <w:rtl w:val="0"/>
              </w:rPr>
              <w:t xml:space="preserve">Vishal Ooka, PharmD</w:t>
            </w:r>
          </w:p>
        </w:tc>
        <w:tc>
          <w:tcPr>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4E">
            <w:pPr>
              <w:rPr/>
            </w:pPr>
            <w:r w:rsidDel="00000000" w:rsidR="00000000" w:rsidRPr="00000000">
              <w:rPr>
                <w:rtl w:val="0"/>
              </w:rPr>
              <w:t xml:space="preserve">Pharmacy Planner</w:t>
            </w:r>
          </w:p>
        </w:tc>
        <w:tc>
          <w:tcPr>
            <w:tcBorders>
              <w:top w:color="000000" w:space="0" w:sz="6" w:val="single"/>
              <w:left w:color="000000" w:space="0" w:sz="6" w:val="single"/>
            </w:tcBorders>
            <w:vAlign w:val="center"/>
          </w:tcPr>
          <w:p w:rsidR="00000000" w:rsidDel="00000000" w:rsidP="00000000" w:rsidRDefault="00000000" w:rsidRPr="00000000" w14:paraId="0000004F">
            <w:pPr>
              <w:rPr/>
            </w:pPr>
            <w:r w:rsidDel="00000000" w:rsidR="00000000" w:rsidRPr="00000000">
              <w:rPr>
                <w:rtl w:val="0"/>
              </w:rPr>
              <w:t xml:space="preserve">Nothing to disclose - 08/20/2024</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continuous"/>
      <w:pgSz w:h="15840" w:w="12240" w:orient="portrait"/>
      <w:pgMar w:bottom="432" w:top="432" w:left="432" w:right="432" w:header="720" w:footer="720"/>
      <w:cols w:equalWidth="0" w:num="1" w:sep="1">
        <w:col w:space="0" w:w="1137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71c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52325A"/>
    <w:pPr>
      <w:spacing w:after="100" w:afterAutospacing="1" w:before="100" w:beforeAutospacing="1"/>
    </w:pPr>
    <w:rPr>
      <w:rFonts w:ascii="Times New Roman" w:cs="Times New Roman" w:eastAsia="Times New Roman" w:hAnsi="Times New Roman"/>
    </w:rPr>
  </w:style>
  <w:style w:type="table" w:styleId="TableGrid">
    <w:name w:val="Table Grid"/>
    <w:basedOn w:val="TableNormal"/>
    <w:uiPriority w:val="39"/>
    <w:rsid w:val="00122D6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link w:val="Title"/>
    <w:rsid w:val="00022247"/>
    <w:rPr>
      <w:rFonts w:ascii="Arial" w:cs="Arial" w:eastAsia="Arial" w:hAnsi="Arial"/>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7.png"/><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x2vrknbPpGj+K+YnR5PBz2ntMg==">CgMxLjA4AHIhMXg1Z1pmYUM5Nm9GQ18yXy1mbkhZVXQ1RU9xTFd5VWR4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2022-09-27T18:56:00Z</dcterms:created>
  <dc:creator>Tyler Browne</dc:creator>
</cp:coreProperties>
</file>